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9370A">
      <w:pPr>
        <w:adjustRightInd w:val="0"/>
        <w:snapToGrid w:val="0"/>
        <w:rPr>
          <w:rFonts w:hint="default" w:ascii="黑体" w:hAnsi="黑体" w:eastAsia="黑体"/>
          <w:sz w:val="32"/>
          <w:szCs w:val="32"/>
          <w:lang w:val="en-US" w:eastAsia="zh-CN"/>
        </w:rPr>
      </w:pPr>
      <w:r>
        <w:rPr>
          <w:rFonts w:hint="eastAsia" w:ascii="黑体" w:hAnsi="黑体" w:eastAsia="黑体"/>
          <w:sz w:val="32"/>
          <w:szCs w:val="32"/>
          <w:lang w:val="en-US" w:eastAsia="zh-CN"/>
        </w:rPr>
        <w:t>附件2</w:t>
      </w:r>
      <w:bookmarkStart w:id="2" w:name="_GoBack"/>
      <w:bookmarkEnd w:id="2"/>
    </w:p>
    <w:p w14:paraId="08A3ED60">
      <w:pPr>
        <w:adjustRightInd w:val="0"/>
        <w:snapToGrid w:val="0"/>
        <w:rPr>
          <w:rFonts w:ascii="宋体" w:hAnsi="宋体" w:eastAsia="宋体"/>
          <w:szCs w:val="21"/>
        </w:rPr>
      </w:pPr>
    </w:p>
    <w:p w14:paraId="035AA777">
      <w:pPr>
        <w:adjustRightInd w:val="0"/>
        <w:snapToGrid w:val="0"/>
        <w:rPr>
          <w:rFonts w:ascii="宋体" w:hAnsi="宋体" w:eastAsia="宋体"/>
          <w:szCs w:val="21"/>
        </w:rPr>
      </w:pPr>
    </w:p>
    <w:p w14:paraId="6E7437C2">
      <w:pPr>
        <w:adjustRightInd w:val="0"/>
        <w:snapToGrid w:val="0"/>
        <w:rPr>
          <w:rFonts w:ascii="宋体" w:hAnsi="宋体" w:eastAsia="宋体"/>
          <w:szCs w:val="21"/>
        </w:rPr>
      </w:pPr>
    </w:p>
    <w:p w14:paraId="0ECC7645">
      <w:pPr>
        <w:adjustRightInd w:val="0"/>
        <w:snapToGrid w:val="0"/>
        <w:rPr>
          <w:rFonts w:ascii="宋体" w:hAnsi="宋体" w:eastAsia="宋体"/>
          <w:szCs w:val="21"/>
        </w:rPr>
      </w:pPr>
    </w:p>
    <w:p w14:paraId="6A8EA120">
      <w:pPr>
        <w:adjustRightInd w:val="0"/>
        <w:snapToGrid w:val="0"/>
        <w:rPr>
          <w:rFonts w:ascii="宋体" w:hAnsi="宋体" w:eastAsia="宋体"/>
          <w:szCs w:val="21"/>
        </w:rPr>
      </w:pPr>
    </w:p>
    <w:p w14:paraId="30F31684">
      <w:pPr>
        <w:adjustRightInd w:val="0"/>
        <w:snapToGrid w:val="0"/>
        <w:jc w:val="center"/>
        <w:rPr>
          <w:rFonts w:hint="eastAsia" w:ascii="方正小标宋简体" w:hAnsi="方正小标宋简体" w:eastAsia="方正小标宋简体" w:cs="方正小标宋简体"/>
          <w:b w:val="0"/>
          <w:bCs w:val="0"/>
          <w:snapToGrid w:val="0"/>
          <w:spacing w:val="20"/>
          <w:kern w:val="0"/>
          <w:sz w:val="52"/>
          <w:szCs w:val="52"/>
        </w:rPr>
      </w:pPr>
      <w:r>
        <w:rPr>
          <w:rFonts w:hint="eastAsia" w:ascii="方正小标宋简体" w:hAnsi="方正小标宋简体" w:eastAsia="方正小标宋简体" w:cs="方正小标宋简体"/>
          <w:b w:val="0"/>
          <w:bCs w:val="0"/>
          <w:snapToGrid w:val="0"/>
          <w:spacing w:val="20"/>
          <w:kern w:val="0"/>
          <w:sz w:val="52"/>
          <w:szCs w:val="52"/>
        </w:rPr>
        <w:t>中国粮油学会团体标准</w:t>
      </w:r>
    </w:p>
    <w:p w14:paraId="4B388288">
      <w:pPr>
        <w:adjustRightInd w:val="0"/>
        <w:snapToGrid w:val="0"/>
        <w:rPr>
          <w:rFonts w:ascii="宋体" w:hAnsi="宋体" w:eastAsia="宋体"/>
          <w:szCs w:val="21"/>
        </w:rPr>
      </w:pPr>
    </w:p>
    <w:p w14:paraId="24923964">
      <w:pPr>
        <w:adjustRightInd w:val="0"/>
        <w:snapToGrid w:val="0"/>
        <w:rPr>
          <w:rFonts w:ascii="宋体" w:hAnsi="宋体" w:eastAsia="宋体"/>
          <w:szCs w:val="21"/>
        </w:rPr>
      </w:pPr>
    </w:p>
    <w:p w14:paraId="5F352613">
      <w:pPr>
        <w:adjustRightInd w:val="0"/>
        <w:snapToGrid w:val="0"/>
        <w:rPr>
          <w:rFonts w:ascii="宋体" w:hAnsi="宋体" w:eastAsia="宋体"/>
          <w:szCs w:val="21"/>
        </w:rPr>
      </w:pPr>
    </w:p>
    <w:p w14:paraId="6DEB11EF">
      <w:pPr>
        <w:adjustRightInd w:val="0"/>
        <w:snapToGrid w:val="0"/>
        <w:rPr>
          <w:rFonts w:ascii="宋体" w:hAnsi="宋体" w:eastAsia="宋体"/>
          <w:szCs w:val="21"/>
        </w:rPr>
      </w:pPr>
    </w:p>
    <w:p w14:paraId="48CEFA99">
      <w:pPr>
        <w:adjustRightInd w:val="0"/>
        <w:snapToGrid w:val="0"/>
        <w:rPr>
          <w:rFonts w:ascii="宋体" w:hAnsi="宋体" w:eastAsia="宋体"/>
          <w:szCs w:val="21"/>
        </w:rPr>
      </w:pPr>
    </w:p>
    <w:p w14:paraId="1885DC41">
      <w:pPr>
        <w:adjustRightInd w:val="0"/>
        <w:snapToGrid w:val="0"/>
        <w:rPr>
          <w:rFonts w:ascii="宋体" w:hAnsi="宋体" w:eastAsia="宋体"/>
          <w:szCs w:val="21"/>
        </w:rPr>
      </w:pPr>
    </w:p>
    <w:p w14:paraId="1C450205">
      <w:pPr>
        <w:adjustRightInd w:val="0"/>
        <w:snapToGrid w:val="0"/>
        <w:rPr>
          <w:rFonts w:ascii="宋体" w:hAnsi="宋体" w:eastAsia="宋体"/>
          <w:szCs w:val="21"/>
        </w:rPr>
      </w:pPr>
    </w:p>
    <w:p w14:paraId="351FB308">
      <w:pPr>
        <w:adjustRightInd w:val="0"/>
        <w:snapToGrid w:val="0"/>
        <w:rPr>
          <w:rFonts w:ascii="宋体" w:hAnsi="宋体" w:eastAsia="宋体"/>
          <w:szCs w:val="21"/>
        </w:rPr>
      </w:pPr>
    </w:p>
    <w:p w14:paraId="42527A45">
      <w:pPr>
        <w:adjustRightInd w:val="0"/>
        <w:snapToGrid w:val="0"/>
        <w:rPr>
          <w:rFonts w:ascii="宋体" w:hAnsi="宋体" w:eastAsia="宋体"/>
          <w:szCs w:val="21"/>
        </w:rPr>
      </w:pPr>
    </w:p>
    <w:p w14:paraId="70483BC4">
      <w:pPr>
        <w:adjustRightInd w:val="0"/>
        <w:snapToGrid w:val="0"/>
        <w:rPr>
          <w:rFonts w:ascii="宋体" w:hAnsi="宋体" w:eastAsia="宋体"/>
          <w:szCs w:val="21"/>
        </w:rPr>
      </w:pPr>
    </w:p>
    <w:p w14:paraId="6D51D26B">
      <w:pPr>
        <w:adjustRightInd w:val="0"/>
        <w:snapToGrid w:val="0"/>
        <w:rPr>
          <w:rFonts w:ascii="宋体" w:hAnsi="宋体" w:eastAsia="宋体"/>
          <w:szCs w:val="21"/>
        </w:rPr>
      </w:pPr>
    </w:p>
    <w:p w14:paraId="4B62CA73">
      <w:pPr>
        <w:adjustRightInd w:val="0"/>
        <w:snapToGrid w:val="0"/>
        <w:rPr>
          <w:rFonts w:ascii="宋体" w:hAnsi="宋体" w:eastAsia="宋体"/>
          <w:szCs w:val="21"/>
        </w:rPr>
      </w:pPr>
    </w:p>
    <w:p w14:paraId="40B1FCDF">
      <w:pPr>
        <w:adjustRightInd w:val="0"/>
        <w:snapToGrid w:val="0"/>
        <w:jc w:val="center"/>
        <w:rPr>
          <w:rFonts w:hint="eastAsia" w:ascii="黑体" w:hAnsi="黑体" w:eastAsia="黑体" w:cs="黑体"/>
          <w:b w:val="0"/>
          <w:bCs/>
          <w:sz w:val="52"/>
          <w:szCs w:val="52"/>
        </w:rPr>
      </w:pPr>
      <w:r>
        <w:rPr>
          <w:rFonts w:hint="eastAsia" w:ascii="黑体" w:hAnsi="宋体" w:eastAsia="黑体"/>
          <w:b/>
          <w:bCs/>
          <w:sz w:val="52"/>
          <w:szCs w:val="20"/>
          <w:lang w:val="en-US" w:eastAsia="zh-CN"/>
        </w:rPr>
        <w:t>粮库数字孪生体系架构</w:t>
      </w:r>
    </w:p>
    <w:p w14:paraId="2049688C">
      <w:pPr>
        <w:adjustRightInd w:val="0"/>
        <w:snapToGrid w:val="0"/>
        <w:spacing w:before="156" w:beforeLines="50"/>
        <w:jc w:val="center"/>
        <w:rPr>
          <w:rFonts w:hint="eastAsia" w:ascii="黑体" w:hAnsi="黑体" w:eastAsia="黑体" w:cs="黑体"/>
          <w:b w:val="0"/>
          <w:bCs/>
          <w:sz w:val="44"/>
          <w:szCs w:val="44"/>
        </w:rPr>
      </w:pPr>
      <w:r>
        <w:rPr>
          <w:rFonts w:hint="eastAsia" w:ascii="黑体" w:hAnsi="黑体" w:eastAsia="黑体" w:cs="黑体"/>
          <w:b w:val="0"/>
          <w:bCs/>
          <w:sz w:val="44"/>
          <w:szCs w:val="44"/>
        </w:rPr>
        <w:t>（</w:t>
      </w:r>
      <w:r>
        <w:rPr>
          <w:rFonts w:hint="eastAsia" w:ascii="黑体" w:hAnsi="黑体" w:eastAsia="黑体" w:cs="黑体"/>
          <w:b w:val="0"/>
          <w:bCs/>
          <w:color w:val="auto"/>
          <w:sz w:val="44"/>
          <w:szCs w:val="44"/>
          <w:lang w:val="en-US" w:eastAsia="zh-CN"/>
        </w:rPr>
        <w:t>征求意见</w:t>
      </w:r>
      <w:r>
        <w:rPr>
          <w:rFonts w:hint="eastAsia" w:ascii="黑体" w:hAnsi="黑体" w:eastAsia="黑体" w:cs="黑体"/>
          <w:b w:val="0"/>
          <w:bCs/>
          <w:color w:val="auto"/>
          <w:sz w:val="44"/>
          <w:szCs w:val="44"/>
        </w:rPr>
        <w:t>稿</w:t>
      </w:r>
      <w:r>
        <w:rPr>
          <w:rFonts w:hint="eastAsia" w:ascii="黑体" w:hAnsi="黑体" w:eastAsia="黑体" w:cs="黑体"/>
          <w:b w:val="0"/>
          <w:bCs/>
          <w:sz w:val="44"/>
          <w:szCs w:val="44"/>
        </w:rPr>
        <w:t>）</w:t>
      </w:r>
    </w:p>
    <w:p w14:paraId="39C84895">
      <w:pPr>
        <w:adjustRightInd w:val="0"/>
        <w:snapToGrid w:val="0"/>
        <w:spacing w:before="156" w:beforeLines="50"/>
        <w:jc w:val="center"/>
        <w:rPr>
          <w:rFonts w:hint="eastAsia" w:ascii="黑体" w:hAnsi="黑体" w:eastAsia="黑体" w:cs="黑体"/>
          <w:b w:val="0"/>
          <w:bCs/>
          <w:sz w:val="44"/>
          <w:szCs w:val="44"/>
        </w:rPr>
      </w:pPr>
      <w:r>
        <w:rPr>
          <w:rFonts w:hint="eastAsia" w:ascii="黑体" w:hAnsi="黑体" w:eastAsia="黑体" w:cs="黑体"/>
          <w:b w:val="0"/>
          <w:bCs/>
          <w:sz w:val="44"/>
          <w:szCs w:val="44"/>
        </w:rPr>
        <w:t>编制说明</w:t>
      </w:r>
    </w:p>
    <w:p w14:paraId="09633344">
      <w:pPr>
        <w:adjustRightInd w:val="0"/>
        <w:snapToGrid w:val="0"/>
        <w:rPr>
          <w:rFonts w:ascii="宋体" w:hAnsi="宋体" w:eastAsia="宋体"/>
          <w:b/>
          <w:szCs w:val="21"/>
        </w:rPr>
      </w:pPr>
    </w:p>
    <w:p w14:paraId="139261F6">
      <w:pPr>
        <w:adjustRightInd w:val="0"/>
        <w:snapToGrid w:val="0"/>
        <w:rPr>
          <w:rFonts w:ascii="宋体" w:hAnsi="宋体" w:eastAsia="宋体"/>
          <w:b/>
          <w:szCs w:val="21"/>
        </w:rPr>
      </w:pPr>
    </w:p>
    <w:p w14:paraId="576DF4AE">
      <w:pPr>
        <w:adjustRightInd w:val="0"/>
        <w:snapToGrid w:val="0"/>
        <w:rPr>
          <w:rFonts w:ascii="宋体" w:hAnsi="宋体" w:eastAsia="宋体"/>
          <w:b/>
          <w:szCs w:val="21"/>
        </w:rPr>
      </w:pPr>
    </w:p>
    <w:p w14:paraId="045691DB">
      <w:pPr>
        <w:adjustRightInd w:val="0"/>
        <w:snapToGrid w:val="0"/>
        <w:rPr>
          <w:rFonts w:ascii="宋体" w:hAnsi="宋体" w:eastAsia="宋体"/>
          <w:b/>
          <w:szCs w:val="21"/>
        </w:rPr>
      </w:pPr>
    </w:p>
    <w:p w14:paraId="3A93F5C3">
      <w:pPr>
        <w:adjustRightInd w:val="0"/>
        <w:snapToGrid w:val="0"/>
        <w:rPr>
          <w:rFonts w:ascii="宋体" w:hAnsi="宋体" w:eastAsia="宋体"/>
          <w:b/>
          <w:szCs w:val="21"/>
        </w:rPr>
      </w:pPr>
    </w:p>
    <w:p w14:paraId="0CDE44F1">
      <w:pPr>
        <w:adjustRightInd w:val="0"/>
        <w:snapToGrid w:val="0"/>
        <w:rPr>
          <w:rFonts w:ascii="宋体" w:hAnsi="宋体" w:eastAsia="宋体"/>
          <w:b/>
          <w:szCs w:val="21"/>
        </w:rPr>
      </w:pPr>
    </w:p>
    <w:p w14:paraId="24F61D06">
      <w:pPr>
        <w:adjustRightInd w:val="0"/>
        <w:snapToGrid w:val="0"/>
        <w:rPr>
          <w:rFonts w:ascii="宋体" w:hAnsi="宋体" w:eastAsia="宋体"/>
          <w:b/>
          <w:szCs w:val="21"/>
        </w:rPr>
      </w:pPr>
    </w:p>
    <w:p w14:paraId="64EC9A69">
      <w:pPr>
        <w:adjustRightInd w:val="0"/>
        <w:snapToGrid w:val="0"/>
        <w:rPr>
          <w:rFonts w:ascii="宋体" w:hAnsi="宋体" w:eastAsia="宋体"/>
          <w:b/>
          <w:szCs w:val="21"/>
        </w:rPr>
      </w:pPr>
    </w:p>
    <w:p w14:paraId="5EE25543">
      <w:pPr>
        <w:adjustRightInd w:val="0"/>
        <w:snapToGrid w:val="0"/>
        <w:rPr>
          <w:rFonts w:ascii="宋体" w:hAnsi="宋体" w:eastAsia="宋体"/>
          <w:b/>
          <w:szCs w:val="21"/>
        </w:rPr>
      </w:pPr>
    </w:p>
    <w:p w14:paraId="183C49B5">
      <w:pPr>
        <w:adjustRightInd w:val="0"/>
        <w:snapToGrid w:val="0"/>
        <w:rPr>
          <w:rFonts w:ascii="宋体" w:hAnsi="宋体" w:eastAsia="宋体"/>
          <w:b/>
          <w:szCs w:val="21"/>
        </w:rPr>
      </w:pPr>
    </w:p>
    <w:p w14:paraId="57A328E0">
      <w:pPr>
        <w:adjustRightInd w:val="0"/>
        <w:snapToGrid w:val="0"/>
        <w:rPr>
          <w:rFonts w:ascii="宋体" w:hAnsi="宋体" w:eastAsia="宋体"/>
          <w:b/>
          <w:szCs w:val="21"/>
        </w:rPr>
      </w:pPr>
    </w:p>
    <w:p w14:paraId="698CCC20">
      <w:pPr>
        <w:adjustRightInd w:val="0"/>
        <w:snapToGrid w:val="0"/>
        <w:rPr>
          <w:rFonts w:ascii="宋体" w:hAnsi="宋体" w:eastAsia="宋体"/>
          <w:b/>
          <w:szCs w:val="21"/>
        </w:rPr>
      </w:pPr>
    </w:p>
    <w:p w14:paraId="24231CFC">
      <w:pPr>
        <w:adjustRightInd w:val="0"/>
        <w:snapToGrid w:val="0"/>
        <w:rPr>
          <w:rFonts w:ascii="宋体" w:hAnsi="宋体" w:eastAsia="宋体"/>
          <w:b/>
          <w:szCs w:val="21"/>
        </w:rPr>
      </w:pPr>
    </w:p>
    <w:p w14:paraId="3D34A2ED">
      <w:pPr>
        <w:adjustRightInd w:val="0"/>
        <w:snapToGrid w:val="0"/>
        <w:rPr>
          <w:rFonts w:ascii="宋体" w:hAnsi="宋体" w:eastAsia="宋体"/>
          <w:b/>
          <w:szCs w:val="21"/>
        </w:rPr>
      </w:pPr>
    </w:p>
    <w:p w14:paraId="405E2181">
      <w:pPr>
        <w:adjustRightInd w:val="0"/>
        <w:snapToGrid w:val="0"/>
        <w:jc w:val="center"/>
        <w:rPr>
          <w:rFonts w:hint="eastAsia" w:ascii="黑体" w:hAnsi="黑体" w:eastAsia="黑体" w:cs="黑体"/>
          <w:b w:val="0"/>
          <w:bCs/>
          <w:sz w:val="36"/>
          <w:szCs w:val="36"/>
        </w:rPr>
      </w:pPr>
      <w:r>
        <w:rPr>
          <w:rFonts w:hint="eastAsia" w:ascii="黑体" w:hAnsi="黑体" w:eastAsia="黑体" w:cs="黑体"/>
          <w:b w:val="0"/>
          <w:bCs/>
          <w:sz w:val="36"/>
          <w:szCs w:val="36"/>
        </w:rPr>
        <w:t>标准起草组</w:t>
      </w:r>
    </w:p>
    <w:p w14:paraId="61501322">
      <w:pPr>
        <w:adjustRightInd w:val="0"/>
        <w:snapToGrid w:val="0"/>
        <w:spacing w:before="156" w:beforeLines="50"/>
        <w:jc w:val="center"/>
        <w:rPr>
          <w:rFonts w:hint="eastAsia" w:ascii="黑体" w:hAnsi="黑体" w:eastAsia="黑体" w:cs="黑体"/>
          <w:b w:val="0"/>
          <w:bCs/>
          <w:szCs w:val="21"/>
        </w:rPr>
      </w:pPr>
      <w:r>
        <w:rPr>
          <w:rFonts w:hint="eastAsia" w:ascii="黑体" w:hAnsi="黑体" w:eastAsia="黑体" w:cs="黑体"/>
          <w:b w:val="0"/>
          <w:bCs/>
          <w:sz w:val="36"/>
          <w:szCs w:val="36"/>
        </w:rPr>
        <w:t>20</w:t>
      </w:r>
      <w:r>
        <w:rPr>
          <w:rFonts w:hint="eastAsia" w:ascii="黑体" w:hAnsi="黑体" w:eastAsia="黑体" w:cs="黑体"/>
          <w:b w:val="0"/>
          <w:bCs/>
          <w:sz w:val="36"/>
          <w:szCs w:val="36"/>
          <w:lang w:val="en-US" w:eastAsia="zh-CN"/>
        </w:rPr>
        <w:t>26</w:t>
      </w:r>
      <w:r>
        <w:rPr>
          <w:rFonts w:hint="eastAsia" w:ascii="黑体" w:hAnsi="黑体" w:eastAsia="黑体" w:cs="黑体"/>
          <w:b w:val="0"/>
          <w:bCs/>
          <w:sz w:val="36"/>
          <w:szCs w:val="36"/>
        </w:rPr>
        <w:t>年</w:t>
      </w:r>
      <w:r>
        <w:rPr>
          <w:rFonts w:hint="eastAsia" w:ascii="黑体" w:hAnsi="黑体" w:eastAsia="黑体" w:cs="黑体"/>
          <w:b w:val="0"/>
          <w:bCs/>
          <w:sz w:val="36"/>
          <w:szCs w:val="36"/>
          <w:lang w:val="en-US" w:eastAsia="zh-CN"/>
        </w:rPr>
        <w:t>05</w:t>
      </w:r>
      <w:r>
        <w:rPr>
          <w:rFonts w:hint="eastAsia" w:ascii="黑体" w:hAnsi="黑体" w:eastAsia="黑体" w:cs="黑体"/>
          <w:b w:val="0"/>
          <w:bCs/>
          <w:sz w:val="36"/>
          <w:szCs w:val="36"/>
        </w:rPr>
        <w:t>月</w:t>
      </w:r>
    </w:p>
    <w:p w14:paraId="4418112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sz w:val="36"/>
          <w:szCs w:val="36"/>
        </w:rPr>
      </w:pPr>
      <w:r>
        <w:rPr>
          <w:rFonts w:hint="eastAsia" w:ascii="黑体" w:hAnsi="黑体" w:eastAsia="黑体"/>
          <w:sz w:val="36"/>
          <w:szCs w:val="36"/>
        </w:rPr>
        <w:t>《</w:t>
      </w:r>
      <w:r>
        <w:rPr>
          <w:rFonts w:hint="eastAsia" w:ascii="黑体" w:hAnsi="黑体" w:eastAsia="黑体"/>
          <w:sz w:val="36"/>
          <w:szCs w:val="36"/>
          <w:lang w:val="en-US" w:eastAsia="zh-CN"/>
        </w:rPr>
        <w:t>粮库数字孪生体系架构</w:t>
      </w:r>
      <w:r>
        <w:rPr>
          <w:rFonts w:hint="eastAsia" w:ascii="黑体" w:hAnsi="黑体" w:eastAsia="黑体"/>
          <w:sz w:val="36"/>
          <w:szCs w:val="36"/>
        </w:rPr>
        <w:t>》编制说明</w:t>
      </w:r>
    </w:p>
    <w:p w14:paraId="061DED2C">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黑体" w:hAnsi="黑体" w:eastAsia="黑体"/>
          <w:sz w:val="32"/>
          <w:szCs w:val="32"/>
        </w:rPr>
      </w:pPr>
    </w:p>
    <w:p w14:paraId="307F14E7">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1.</w:t>
      </w:r>
      <w:r>
        <w:rPr>
          <w:rFonts w:hint="eastAsia" w:ascii="仿宋_GB2312" w:hAnsi="仿宋_GB2312" w:eastAsia="仿宋_GB2312" w:cs="仿宋_GB2312"/>
          <w:b/>
          <w:sz w:val="28"/>
          <w:szCs w:val="28"/>
        </w:rPr>
        <w:t>工作简况</w:t>
      </w:r>
      <w:r>
        <w:rPr>
          <w:rFonts w:hint="eastAsia" w:ascii="仿宋_GB2312" w:hAnsi="仿宋_GB2312" w:eastAsia="仿宋_GB2312" w:cs="仿宋_GB2312"/>
          <w:sz w:val="28"/>
          <w:szCs w:val="28"/>
        </w:rPr>
        <w:t>（包括任务来源、协作单位、主要工作过程、标准主要起草人及其所做的工作等）</w:t>
      </w:r>
    </w:p>
    <w:p w14:paraId="2E635EA7">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1.1 任务来源</w:t>
      </w:r>
      <w:r>
        <w:rPr>
          <w:rFonts w:hint="eastAsia" w:ascii="仿宋_GB2312" w:hAnsi="仿宋_GB2312" w:eastAsia="仿宋_GB2312" w:cs="仿宋_GB2312"/>
          <w:bCs/>
          <w:sz w:val="28"/>
          <w:szCs w:val="28"/>
          <w:u w:val="single"/>
        </w:rPr>
        <w:t>（包括</w:t>
      </w:r>
      <w:bookmarkStart w:id="0" w:name="_Hlk111477055"/>
      <w:r>
        <w:rPr>
          <w:rFonts w:hint="eastAsia" w:ascii="仿宋_GB2312" w:hAnsi="仿宋_GB2312" w:eastAsia="仿宋_GB2312" w:cs="仿宋_GB2312"/>
          <w:bCs/>
          <w:sz w:val="28"/>
          <w:szCs w:val="28"/>
          <w:u w:val="single"/>
        </w:rPr>
        <w:t>标准下达计划</w:t>
      </w:r>
      <w:bookmarkEnd w:id="0"/>
      <w:r>
        <w:rPr>
          <w:rFonts w:hint="eastAsia" w:ascii="仿宋_GB2312" w:hAnsi="仿宋_GB2312" w:eastAsia="仿宋_GB2312" w:cs="仿宋_GB2312"/>
          <w:bCs/>
          <w:sz w:val="28"/>
          <w:szCs w:val="28"/>
          <w:u w:val="single"/>
        </w:rPr>
        <w:t>、标准计划项目调整、</w:t>
      </w:r>
      <w:bookmarkStart w:id="1" w:name="_Hlk111477094"/>
      <w:r>
        <w:rPr>
          <w:rFonts w:hint="eastAsia" w:ascii="仿宋_GB2312" w:hAnsi="仿宋_GB2312" w:eastAsia="仿宋_GB2312" w:cs="仿宋_GB2312"/>
          <w:bCs/>
          <w:sz w:val="28"/>
          <w:szCs w:val="28"/>
          <w:u w:val="single"/>
        </w:rPr>
        <w:t>标准制修订的背景、必要性和重要</w:t>
      </w:r>
      <w:bookmarkEnd w:id="1"/>
      <w:r>
        <w:rPr>
          <w:rFonts w:hint="eastAsia" w:ascii="仿宋_GB2312" w:hAnsi="仿宋_GB2312" w:eastAsia="仿宋_GB2312" w:cs="仿宋_GB2312"/>
          <w:bCs/>
          <w:sz w:val="28"/>
          <w:szCs w:val="28"/>
          <w:u w:val="single"/>
        </w:rPr>
        <w:t>意义等）</w:t>
      </w:r>
    </w:p>
    <w:p w14:paraId="2A07971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1.1.1 标准下达计划（包括标准下达计划文件、标准名称、第一起草单位等）</w:t>
      </w:r>
    </w:p>
    <w:p w14:paraId="39E2BDD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本标准依据中国粮油学会下达的团体标准制修订计划，标准名称为《粮库数字孪生体系架构》，第一起草单位为云境商务智能研究院南京有限公司。</w:t>
      </w:r>
    </w:p>
    <w:p w14:paraId="0E6EA8B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1.1.2 标准计划项目调整（如有，请写明申请调整的具体内容、理由和依据等）</w:t>
      </w:r>
    </w:p>
    <w:p w14:paraId="7F474B6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无</w:t>
      </w:r>
      <w:r>
        <w:rPr>
          <w:rFonts w:hint="eastAsia" w:ascii="仿宋_GB2312" w:hAnsi="仿宋_GB2312" w:eastAsia="仿宋_GB2312" w:cs="仿宋_GB2312"/>
          <w:sz w:val="28"/>
          <w:szCs w:val="28"/>
        </w:rPr>
        <w:t>。</w:t>
      </w:r>
    </w:p>
    <w:p w14:paraId="12AC4F7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1.1.3 标准制修订的背景、必要性和重要意义</w:t>
      </w:r>
    </w:p>
    <w:p w14:paraId="1FCEAA6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随着物联网、大数据、人工智能及数字孪生技术的快速发展，数字孪生已被</w:t>
      </w:r>
      <w:r>
        <w:rPr>
          <w:rFonts w:hint="default" w:ascii="Times New Roman" w:hAnsi="Times New Roman" w:eastAsia="仿宋_GB2312" w:cs="Times New Roman"/>
          <w:sz w:val="28"/>
          <w:szCs w:val="28"/>
        </w:rPr>
        <w:t>Gartner</w:t>
      </w:r>
      <w:r>
        <w:rPr>
          <w:rFonts w:hint="eastAsia" w:ascii="仿宋_GB2312" w:hAnsi="仿宋_GB2312" w:eastAsia="仿宋_GB2312" w:cs="仿宋_GB2312"/>
          <w:sz w:val="28"/>
          <w:szCs w:val="28"/>
        </w:rPr>
        <w:t>等权威机构列为十大战略性技术趋势，并在工业、农业等领域展现出巨大潜力，但国内外尚缺乏针对粮库数字孪生体系架构的专项标准。当前粮库管理中普遍存在多源异构数据壁垒、汇聚存储困难、分析决策能力不足、运作管理效率偏低等痛点，而粮食储存行业对运营效率、质量安全具有极高要求，迫切需要借助数字孪生技术实现粮库的智能化、精细化管理。本标准通过规范粮库数字孪生体系架构，明确物联网基础硬件、数据管理、数字孪生模型、业务交互及应用服务等核心模块的逻辑关系与功能，能够有效打通数据孤岛，实现粮库信息共享、粮情实时监测预警、设备智能管控与虚拟仿真优化，从而降低粮食损耗、保障粮食安全、提升仓储运营效率。标准的制定不仅填补了国内粮库数字孪生领域标准体系的空白，也为粮库顶层规划、智能化升级及全行业数字化转型提供了科学依据和技术支撑，对推动节粮减损、促进智能农业发展和保障国家粮食安全具有重要的现实意义和长远价值。</w:t>
      </w:r>
    </w:p>
    <w:p w14:paraId="1EEBC1FA">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rPr>
        <w:t>1.2 协作单位</w:t>
      </w:r>
      <w:r>
        <w:rPr>
          <w:rFonts w:hint="eastAsia" w:ascii="仿宋_GB2312" w:hAnsi="仿宋_GB2312" w:eastAsia="仿宋_GB2312" w:cs="仿宋_GB2312"/>
          <w:bCs/>
          <w:sz w:val="28"/>
          <w:szCs w:val="28"/>
          <w:u w:val="single"/>
        </w:rPr>
        <w:t>（除第一起草单位外的其他起草单位）</w:t>
      </w:r>
    </w:p>
    <w:p w14:paraId="4F87694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南京财经大学、河南工业大学、合肥工业大学、联通数字科技有限公司、金湖县金南粮食购销有限公司、江苏丰尚钢板仓工程有限公司。</w:t>
      </w:r>
    </w:p>
    <w:p w14:paraId="1CCDDB5C">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rPr>
        <w:t>1.3 主要工作过程</w:t>
      </w:r>
      <w:r>
        <w:rPr>
          <w:rFonts w:hint="eastAsia" w:ascii="仿宋_GB2312" w:hAnsi="仿宋_GB2312" w:eastAsia="仿宋_GB2312" w:cs="仿宋_GB2312"/>
          <w:bCs/>
          <w:sz w:val="28"/>
          <w:szCs w:val="28"/>
          <w:u w:val="single"/>
        </w:rPr>
        <w:t>（应包括标准起草阶段、征求意见阶段、审查阶段、报批阶段等）</w:t>
      </w:r>
    </w:p>
    <w:p w14:paraId="179439C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2023</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月，成立标准起草组，由云境商务智能研究院南京有限公司牵头，联合南京财经大学、河南工业大学等单位，在前期技术积累和调研基础上完成《粮库数字孪生体系架构》工作组讨论稿（草案）；</w:t>
      </w:r>
    </w:p>
    <w:p w14:paraId="53E7D28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月，完成标准征求意见稿；</w:t>
      </w:r>
    </w:p>
    <w:p w14:paraId="751A1AF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月—××××年×月，向社会公开征求意见，共收到……；</w:t>
      </w:r>
    </w:p>
    <w:p w14:paraId="030DFE92">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××××年×月—××××年×月，根据“标准征求意见汇总处理表”，……完成标准送审稿；</w:t>
      </w:r>
    </w:p>
    <w:p w14:paraId="683DADE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××××年×月×日，……委员会在……召开……会议上对该标准进行审查，……（审查结论）；</w:t>
      </w:r>
    </w:p>
    <w:p w14:paraId="6F2A751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××××年×月—××××年×月，根据审查会要求，……，最终完成报批稿。</w:t>
      </w:r>
    </w:p>
    <w:p w14:paraId="6C7BFD77">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1.4 标准主要起草人及其所做的工作等</w:t>
      </w:r>
    </w:p>
    <w:p w14:paraId="5DBB610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标准主要起草人包括曹杰、黄健、甄彤、郑涛、康海燕、孙厚洋、申冬琴、邓海斌、汪文静、徐晨雨、葛大伟、张文元、李楚。其中，曹杰作为项目总负责人，负责标准总体统筹、体系架构设计与关键技术把关；黄健、甄彤重点负责数字孪生模型层、模型实现及模型融合等核心技术内容的编写与验证；郑涛、康海燕承担粮库数据管理层与业务交互层的技术规范制定；孙厚洋、申冬琴负责物联网基础硬件层的需求调研与功能确认；邓海斌、汪文静负责标准文本的起草、修改及编制说明等材料的撰写；徐晨雨、葛大伟、张文元、李楚参与各章节研讨、应用场景分析、征求意见汇总处理及标准送审稿、报批稿的完善工作。各位起草人均在各自领域发挥了重要作用，共同保障了标准的科学性与适用性。</w:t>
      </w:r>
    </w:p>
    <w:p w14:paraId="29B1DEEA">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2.</w:t>
      </w:r>
      <w:r>
        <w:rPr>
          <w:rFonts w:hint="eastAsia" w:ascii="仿宋_GB2312" w:hAnsi="仿宋_GB2312" w:eastAsia="仿宋_GB2312" w:cs="仿宋_GB2312"/>
          <w:b/>
          <w:sz w:val="28"/>
          <w:szCs w:val="28"/>
        </w:rPr>
        <w:t>标准编制原则和确定标准主要内容</w:t>
      </w:r>
      <w:r>
        <w:rPr>
          <w:rFonts w:hint="eastAsia" w:ascii="仿宋_GB2312" w:hAnsi="仿宋_GB2312" w:eastAsia="仿宋_GB2312" w:cs="仿宋_GB2312"/>
          <w:sz w:val="28"/>
          <w:szCs w:val="28"/>
        </w:rPr>
        <w:t>（如技术指标、参数、公式、性能要求、试验方法、检验规则等）</w:t>
      </w:r>
      <w:r>
        <w:rPr>
          <w:rFonts w:hint="eastAsia" w:ascii="仿宋_GB2312" w:hAnsi="仿宋_GB2312" w:eastAsia="仿宋_GB2312" w:cs="仿宋_GB2312"/>
          <w:b/>
          <w:sz w:val="28"/>
          <w:szCs w:val="28"/>
        </w:rPr>
        <w:t>的论据</w:t>
      </w:r>
      <w:r>
        <w:rPr>
          <w:rFonts w:hint="eastAsia" w:ascii="仿宋_GB2312" w:hAnsi="仿宋_GB2312" w:eastAsia="仿宋_GB2312" w:cs="仿宋_GB2312"/>
          <w:sz w:val="28"/>
          <w:szCs w:val="28"/>
        </w:rPr>
        <w:t>（包括试验、统计数据）。修订标准时，应列出与原标准的主要差异和水平对比</w:t>
      </w:r>
    </w:p>
    <w:p w14:paraId="2E9A551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本标准编制遵循“科学性、先进性、适用性与可操作性”原则，严格按</w:t>
      </w:r>
      <w:r>
        <w:rPr>
          <w:rFonts w:hint="default" w:ascii="Times New Roman" w:hAnsi="Times New Roman" w:eastAsia="仿宋_GB2312" w:cs="Times New Roman"/>
          <w:sz w:val="28"/>
          <w:szCs w:val="28"/>
        </w:rPr>
        <w:t>照GB/T 1.1—2020《</w:t>
      </w:r>
      <w:r>
        <w:rPr>
          <w:rFonts w:hint="eastAsia" w:ascii="仿宋_GB2312" w:hAnsi="仿宋_GB2312" w:eastAsia="仿宋_GB2312" w:cs="仿宋_GB2312"/>
          <w:sz w:val="28"/>
          <w:szCs w:val="28"/>
        </w:rPr>
        <w:t>标准化工作导则</w:t>
      </w:r>
      <w:r>
        <w:rPr>
          <w:rFonts w:hint="default" w:ascii="Times New Roman" w:hAnsi="Times New Roman" w:eastAsia="仿宋_GB2312" w:cs="Times New Roman"/>
          <w:sz w:val="28"/>
          <w:szCs w:val="28"/>
        </w:rPr>
        <w:t xml:space="preserve"> 第1部分：标准</w:t>
      </w:r>
      <w:r>
        <w:rPr>
          <w:rFonts w:hint="eastAsia" w:ascii="仿宋_GB2312" w:hAnsi="仿宋_GB2312" w:eastAsia="仿宋_GB2312" w:cs="仿宋_GB2312"/>
          <w:sz w:val="28"/>
          <w:szCs w:val="28"/>
        </w:rPr>
        <w:t>化文件的结构和起草规则》进行编写。在确定标准主要内容包括物联网基础硬件层、粮库数据管理层、数字孪生模型层、业务交互层、应用与服务层的逻辑架构及数字孪生模型模块的主要功能时，主要依据以下论据：一是深入分析当前粮库管理中存在的多源异构数据壁垒、汇聚存储困难、分析决策不足等实际痛点，结合数字孪生技术在工业、农业等领域已成功应用的成熟经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如西门子数字孪生模型、陶飞团队提出的五维模型架构等，确保技术架构的先进性与行业适配性；二是依托起草单位在粮库信息化、智能传感、三维建模、仿真算法等方面的前期研究基础与工程实践，通过搭建实验环境对温湿度监测、出入库仿真、异常预警等关键环节进行模拟验证，验证了架构各模块的功能完整性与数据交互的可实现性；</w:t>
      </w:r>
      <w:r>
        <w:rPr>
          <w:rFonts w:hint="default" w:ascii="Times New Roman" w:hAnsi="Times New Roman" w:eastAsia="仿宋_GB2312" w:cs="Times New Roman"/>
          <w:sz w:val="28"/>
          <w:szCs w:val="28"/>
        </w:rPr>
        <w:t>三是参考LS/T 1801、LS/T 1820等相关粮食行业标准，并借鉴国内外数字孪生参考架构</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如Gartner技术趋势、Centaur Analytics的粮食产后质量控</w:t>
      </w:r>
      <w:r>
        <w:rPr>
          <w:rFonts w:hint="eastAsia" w:ascii="仿宋_GB2312" w:hAnsi="仿宋_GB2312" w:eastAsia="仿宋_GB2312" w:cs="仿宋_GB2312"/>
          <w:sz w:val="28"/>
          <w:szCs w:val="28"/>
        </w:rPr>
        <w:t>制链等，保证了标准内容的协调性与规范性。本标准未规定具体的试验方法及检验规则，重点在于定义体系架构及各模块的功能要求，相关技术参数主要来源于行业通用指标</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如TCP/HTTP协议、CAD/CAE建模要求</w:t>
      </w:r>
      <w:r>
        <w:rPr>
          <w:rFonts w:hint="eastAsia" w:ascii="仿宋_GB2312" w:hAnsi="仿宋_GB2312" w:eastAsia="仿宋_GB2312" w:cs="仿宋_GB2312"/>
          <w:sz w:val="28"/>
          <w:szCs w:val="28"/>
        </w:rPr>
        <w:t>等及起草单位的实际项目数据统计，经多次内部研讨和专家论证后最终确定。</w:t>
      </w:r>
    </w:p>
    <w:p w14:paraId="71335D0F">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3.</w:t>
      </w:r>
      <w:r>
        <w:rPr>
          <w:rFonts w:hint="eastAsia" w:ascii="仿宋_GB2312" w:hAnsi="仿宋_GB2312" w:eastAsia="仿宋_GB2312" w:cs="仿宋_GB2312"/>
          <w:b/>
          <w:sz w:val="28"/>
          <w:szCs w:val="28"/>
        </w:rPr>
        <w:t>主要试验（或验证）情况的分析、综述报告，技术经济论证，预期的经济效果</w:t>
      </w:r>
    </w:p>
    <w:p w14:paraId="5B647D17">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在制定过程中，围绕粮库数字孪生体系架构开展了多方面的试验验证与技术经济论证。起草组依托云境商务智能研究院及南京财经大学等单位的实验环境，搭建了粮库数字孪生模拟平台，对物联网基础硬件层的数据采集与传输、数据管理层的清洗与关联处理、数字孪生模型层的三维建模及虚实同步等关键功能进行了仿真测试与系统联调，验证了架构各模块的可行性与交互逻辑的正确性；同时选取典型粮库场景进行了模型保真度与实时响应能力的对比评估，结果表明该架构能够有效复现物理粮库状态并支持异常预警。技术经济论证方面，通过分析数字孪生技术在降低粮食损耗、减少人工巡检成本、优化通风熏蒸策略、提升仓容利用率等方面的量化效益，结合物联网与建模软件的初期投入，综合评估得出该标准实施后可在</w:t>
      </w:r>
      <w:r>
        <w:rPr>
          <w:rFonts w:hint="default" w:ascii="Times New Roman" w:hAnsi="Times New Roman" w:eastAsia="仿宋_GB2312" w:cs="Times New Roman"/>
          <w:sz w:val="28"/>
          <w:szCs w:val="28"/>
        </w:rPr>
        <w:t>3～5年内实现投资回收。预期的经济效果包括：降低粮食储存损耗率约1%～3%，提高设备运行效率与决策响应速度，减少因粮情失控导致的质量劣变损失，同时</w:t>
      </w:r>
      <w:r>
        <w:rPr>
          <w:rFonts w:hint="eastAsia" w:ascii="仿宋_GB2312" w:hAnsi="仿宋_GB2312" w:eastAsia="仿宋_GB2312" w:cs="仿宋_GB2312"/>
          <w:sz w:val="28"/>
          <w:szCs w:val="28"/>
        </w:rPr>
        <w:t>为粮库智能化升级提供标准化顶层设计，降低重复开发成本，推动节粮减损和智慧粮库产业的规模化发展，具有显著的经济与社会效益。</w:t>
      </w:r>
    </w:p>
    <w:p w14:paraId="64F1C534">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4.</w:t>
      </w:r>
      <w:r>
        <w:rPr>
          <w:rFonts w:hint="eastAsia" w:ascii="仿宋_GB2312" w:hAnsi="仿宋_GB2312" w:eastAsia="仿宋_GB2312" w:cs="仿宋_GB2312"/>
          <w:b/>
          <w:sz w:val="28"/>
          <w:szCs w:val="28"/>
        </w:rPr>
        <w:t>与国际、国外、国行标对比情况</w:t>
      </w:r>
      <w:r>
        <w:rPr>
          <w:rFonts w:hint="eastAsia" w:ascii="仿宋_GB2312" w:hAnsi="仿宋_GB2312" w:eastAsia="仿宋_GB2312" w:cs="仿宋_GB2312"/>
          <w:sz w:val="28"/>
          <w:szCs w:val="28"/>
        </w:rPr>
        <w:t>（采用国际标准和国外先进标准的程度，以及与国际、国外同类标准水平以及国行标水平的对比情况，或与测试的国外样品、样机的有关数据的对比情况等）</w:t>
      </w:r>
    </w:p>
    <w:p w14:paraId="206AF90B">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本标准与国际、国外及国内相关标准对比情况如下。国际方面，全球IT研究与顾问咨询公司Gartner</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2016—2019年连续4年将数字孪生列入年度十大战略性技术趋势，认为其未来5年将产生颠覆性创新；Aheleroff等提出了数字孪生双参考架构，构建了Industry 4.0技术和整体参考架构模型；Centaur Analytics基于专有计算流体动力学建立了数字孪生模型，用于粮库劣化关键区域识别；德国西门子公司发布了完整的数字孪生体应用模型，实现了数字孪生的落地应用；拜耳作物公司利用数字孪生技术为玉米种子生产基地创建了数字孪生系统。近年来，国际标准化工作加速推进：ISO/IEC 30172《数字孪生概念、术语和用例》于2022年正式发布，是全球首个系统界定数字孪生范畴的国际标准，从顶层视角梳理了数字孪生本质、关键要素及典型场景；ISO/TR 24464:2025则提出了工业数字孪生系统的三要素架构</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物理孪生体、工业数字孪生体及二者之间的孪生接口；ISO/DIS 23247-6则聚焦制造领域数字孪生组合，对配置、通信、组合和协作给出了方法论。国内方面，以北航陶飞为代表的研究团队从物理实体、虚拟实体、表示服务、孪生数据和连接等5个维度对数字孪生进行建模，提出数字孪生驱动的6条应用准则，并联合相关标准技术委员会及应用企业建立了一套数字孪生标准体系架构；张蕾、胡秀琨、李凯等分别围绕预测性维护、装配车间运行机制、数字化舰船框架等开展了数字孪生研究；中船705研究所率先开展了水下无人系统数字孪生技术研究工作。在标准制定层面，我国已发布了多个数字孪生相关国家标准，如GB/T 45873-2025《信息技术 车间数字孪生 参考架构》，规定了车间数字孪生的参考架构及其核心要素，填补了我国智能制造领域数字孪生基础性国家标准的空白；GB/T 43441.2-2026《信息技术 数字孪生 第2部分：数字实体》和GB/T 43441.3-2026《信息技术 数字孪生 第3部分：信息交互》分别围绕数字实体构成要素及信息交互框架作出了规定；GB/T 45109.1-2024《智慧城市 城市数字孪生 第1部分：技术参考架构》则为智慧城市领域提供了技术参考架构。在粮食行业相关标准方面，LS/T 1801-2016《粮食信息术语 仓储》、LS/T 1820-2018《粮食大数据资源池设计规范》、LS/T 1226-2022《粮库智能通风控制系统》、LS/T 1806-2017《粮食信息系统网络设计规范》等为粮库信息化建设提供了基础支撑；此外，T/AIA 021—2025《粮食储藏智慧管理系统技术规范》、T/CIIA 048—2024《智能化粮库 智能出入库系统技术要求》等团体标准分别从智慧管理系统和智能出入库等角度对粮库智能化作出了规定。然而，经过全面检索和对比分析，无论是国际上还是国内，目前均暂时没有专门针对粮库数字孪生体系架构方面的标准。因此，本标准的制定填补了这一领域标准体系的空白，与国际、国外先进标准在数字孪生通用概念和架构层面保持协调一致，同时又针对粮食仓储行业的特殊需求进行了场景化细化和体系化构建，具有鲜明的行业针对性和技术创新性。</w:t>
      </w:r>
    </w:p>
    <w:p w14:paraId="5C4CD150">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5.</w:t>
      </w:r>
      <w:r>
        <w:rPr>
          <w:rFonts w:hint="eastAsia" w:ascii="仿宋_GB2312" w:hAnsi="仿宋_GB2312" w:eastAsia="仿宋_GB2312" w:cs="仿宋_GB2312"/>
          <w:b/>
          <w:sz w:val="28"/>
          <w:szCs w:val="28"/>
        </w:rPr>
        <w:t>与有关的现行</w:t>
      </w:r>
      <w:r>
        <w:rPr>
          <w:rFonts w:hint="eastAsia" w:ascii="仿宋_GB2312" w:hAnsi="仿宋_GB2312" w:eastAsia="仿宋_GB2312" w:cs="仿宋_GB2312"/>
          <w:b/>
          <w:sz w:val="28"/>
          <w:szCs w:val="28"/>
          <w:lang w:eastAsia="zh-CN"/>
        </w:rPr>
        <w:t>法律法规</w:t>
      </w:r>
      <w:r>
        <w:rPr>
          <w:rFonts w:hint="eastAsia" w:ascii="仿宋_GB2312" w:hAnsi="仿宋_GB2312" w:eastAsia="仿宋_GB2312" w:cs="仿宋_GB2312"/>
          <w:b/>
          <w:sz w:val="28"/>
          <w:szCs w:val="28"/>
        </w:rPr>
        <w:t>和强制性国家标准的关系</w:t>
      </w:r>
      <w:r>
        <w:rPr>
          <w:rFonts w:hint="eastAsia" w:ascii="仿宋_GB2312" w:hAnsi="仿宋_GB2312" w:eastAsia="仿宋_GB2312" w:cs="仿宋_GB2312"/>
          <w:sz w:val="28"/>
          <w:szCs w:val="28"/>
        </w:rPr>
        <w:t>（简要说明标准与</w:t>
      </w:r>
      <w:r>
        <w:rPr>
          <w:rFonts w:hint="eastAsia" w:ascii="仿宋_GB2312" w:hAnsi="仿宋_GB2312" w:eastAsia="仿宋_GB2312" w:cs="仿宋_GB2312"/>
          <w:sz w:val="28"/>
          <w:szCs w:val="28"/>
          <w:lang w:eastAsia="zh-CN"/>
        </w:rPr>
        <w:t>法律法规</w:t>
      </w:r>
      <w:r>
        <w:rPr>
          <w:rFonts w:hint="eastAsia" w:ascii="仿宋_GB2312" w:hAnsi="仿宋_GB2312" w:eastAsia="仿宋_GB2312" w:cs="仿宋_GB2312"/>
          <w:sz w:val="28"/>
          <w:szCs w:val="28"/>
        </w:rPr>
        <w:t>、标准的协调性）</w:t>
      </w:r>
    </w:p>
    <w:p w14:paraId="5283445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与现行法律法规和强制性国家标准协调一致，不存在任何抵触或矛盾。在法律法规层面，本标准严格遵循《中央储备粮管理条例》等有关粮食仓储管理的行政法规要求，该条例明确要求从事中央储备粮经营管理的单位应依照国家标准和技术规范建立各项业务管理制度</w:t>
      </w:r>
      <w:r>
        <w:rPr>
          <w:rFonts w:hint="default" w:ascii="仿宋_GB2312" w:hAnsi="仿宋_GB2312" w:eastAsia="仿宋_GB2312" w:cs="仿宋_GB2312"/>
          <w:sz w:val="28"/>
          <w:szCs w:val="28"/>
        </w:rPr>
        <w:t>。在强制性国家标准方面，本标准与GB 46033-2025《粮食仓库安全操作规程》相协调，该强制标准规定了粮食仓储单位安全生产管理、生产作业安全规定、应急管理及事故管理等要求，本标准涉及的粮库数字孪生体系中的物联网基础硬件层、数字孪生模型层、业务交互层等功能模块在运行过程中均需遵循上述安全操作要求，确保数字化管理不与安全生产要求相冲突。在推荐性国家标准层面，本标准引用了LS/T 1801-2016《粮食信息术语 仓储》作为规范性引用文件，并参考了LS/T 1820-2018《粮食大数据资源池设计规范》、LS/T 1226-2022《粮库智能通风控制系统》、LS/T 1806-2017《粮食信息系统网络设计规范》等行业标准-。同时，本标准在数字孪生术语定义、通用架构等方面与GB/T 43441系列《信息技术 数字孪生》国家标准保持技术逻辑上的一致性。本标准作为粮库数字孪生体系架构的规范性文件，侧重于从顶层规划角度定义粮库数字孪生系统的逻辑架构及模块功能，与现有粮库相关标准形成互补关系，共同构成粮库信息化与智能化升级的标准体系，填补了粮库数字孪生领域标准体系的空白</w:t>
      </w:r>
      <w:r>
        <w:rPr>
          <w:rFonts w:hint="eastAsia" w:ascii="仿宋_GB2312" w:hAnsi="仿宋_GB2312" w:eastAsia="仿宋_GB2312" w:cs="仿宋_GB2312"/>
          <w:sz w:val="28"/>
          <w:szCs w:val="28"/>
        </w:rPr>
        <w:t>。</w:t>
      </w:r>
    </w:p>
    <w:p w14:paraId="346C9BFC">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6.</w:t>
      </w:r>
      <w:r>
        <w:rPr>
          <w:rFonts w:hint="eastAsia" w:ascii="仿宋_GB2312" w:hAnsi="仿宋_GB2312" w:eastAsia="仿宋_GB2312" w:cs="仿宋_GB2312"/>
          <w:b/>
          <w:sz w:val="28"/>
          <w:szCs w:val="28"/>
        </w:rPr>
        <w:t>重大分歧意见的处理经过和依据</w:t>
      </w:r>
      <w:r>
        <w:rPr>
          <w:rFonts w:hint="eastAsia" w:ascii="仿宋_GB2312" w:hAnsi="仿宋_GB2312" w:eastAsia="仿宋_GB2312" w:cs="仿宋_GB2312"/>
          <w:sz w:val="28"/>
          <w:szCs w:val="28"/>
        </w:rPr>
        <w:t>（主要适用于矛盾、分歧较大的意见，处理结果与处理依据的说明；如没有，写“无”）</w:t>
      </w:r>
    </w:p>
    <w:p w14:paraId="2CA9FE58">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p w14:paraId="2272EA84">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eastAsia="zh-CN"/>
        </w:rPr>
        <w:t>7.</w:t>
      </w:r>
      <w:r>
        <w:rPr>
          <w:rFonts w:hint="eastAsia" w:ascii="仿宋_GB2312" w:hAnsi="仿宋_GB2312" w:eastAsia="仿宋_GB2312" w:cs="仿宋_GB2312"/>
          <w:b/>
          <w:sz w:val="28"/>
          <w:szCs w:val="28"/>
        </w:rPr>
        <w:t>贯彻标准的要求和措施建议</w:t>
      </w:r>
      <w:r>
        <w:rPr>
          <w:rFonts w:hint="eastAsia" w:ascii="仿宋_GB2312" w:hAnsi="仿宋_GB2312" w:eastAsia="仿宋_GB2312" w:cs="仿宋_GB2312"/>
          <w:sz w:val="28"/>
          <w:szCs w:val="28"/>
        </w:rPr>
        <w:t>（包括组织措施、技术措施、过渡办法等）</w:t>
      </w:r>
    </w:p>
    <w:p w14:paraId="2E778432">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default" w:ascii="仿宋_GB2312" w:hAnsi="仿宋_GB2312" w:eastAsia="仿宋_GB2312" w:cs="仿宋_GB2312"/>
          <w:sz w:val="28"/>
          <w:szCs w:val="28"/>
        </w:rPr>
      </w:pPr>
      <w:r>
        <w:rPr>
          <w:rFonts w:hint="eastAsia" w:ascii="仿宋_GB2312" w:hAnsi="仿宋_GB2312" w:eastAsia="仿宋_GB2312" w:cs="仿宋_GB2312"/>
          <w:sz w:val="28"/>
          <w:szCs w:val="28"/>
        </w:rPr>
        <w:t>组织措施方面</w:t>
      </w:r>
      <w:r>
        <w:rPr>
          <w:rFonts w:hint="default" w:ascii="仿宋_GB2312" w:hAnsi="仿宋_GB2312" w:eastAsia="仿宋_GB2312" w:cs="仿宋_GB2312"/>
          <w:sz w:val="28"/>
          <w:szCs w:val="28"/>
        </w:rPr>
        <w:t>：建议国家粮食和物资储备局及地方粮食主管部门将本标准纳入粮库智能化升级改造相关政策性文件或考核指标，组织各粮库管理单位、设计单位及信息化服务企业开展标准宣贯培训，明确粮库数字孪生体系建设的责任主体和实施路径；鼓励行业学会、协会依托专家委员会成立标准实施指导组，对标准应用过程中的共性问题提供技术咨询。</w:t>
      </w:r>
    </w:p>
    <w:p w14:paraId="36439A03">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技术措施方面：标准起草单位可联合相关技术支持企业，开发符合本标准的粮库数字孪生参考实现平台或工具组件，提供包括物联网硬件选型、数据管理接口、数字孪生模型建模规范等在内的实施指南和最佳实践案例；推动标准与现有粮库信息化系统的对接与集成，确保数字孪生体系与现有设备、数据及业务流程相兼容。</w:t>
      </w:r>
    </w:p>
    <w:p w14:paraId="16CAF836">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rPr>
      </w:pPr>
      <w:r>
        <w:rPr>
          <w:rFonts w:hint="default" w:ascii="仿宋_GB2312" w:hAnsi="仿宋_GB2312" w:eastAsia="仿宋_GB2312" w:cs="仿宋_GB2312"/>
          <w:sz w:val="28"/>
          <w:szCs w:val="28"/>
        </w:rPr>
        <w:t>过渡办法方面：建议自标准发布之日起设置6～12个月的过渡期，过渡期内允许现有粮库根据本标准逐步升级改造，新建或扩建粮库应直接按照本标准进行顶层规划与设计；对于暂时无法全面满足标准要求的粮库，可通过分阶段实施</w:t>
      </w:r>
      <w:r>
        <w:rPr>
          <w:rFonts w:hint="eastAsia" w:ascii="仿宋_GB2312" w:hAnsi="仿宋_GB2312" w:eastAsia="仿宋_GB2312" w:cs="仿宋_GB2312"/>
          <w:sz w:val="28"/>
          <w:szCs w:val="28"/>
          <w:lang w:eastAsia="zh-CN"/>
        </w:rPr>
        <w:t>，</w:t>
      </w:r>
      <w:r>
        <w:rPr>
          <w:rFonts w:hint="default" w:ascii="仿宋_GB2312" w:hAnsi="仿宋_GB2312" w:eastAsia="仿宋_GB2312" w:cs="仿宋_GB2312"/>
          <w:sz w:val="28"/>
          <w:szCs w:val="28"/>
        </w:rPr>
        <w:t>先完善物联网基础硬件层与数据管理层，再逐步建设数字孪生模型层与应用服务层的方式平稳过渡。同时，建议归口单位适时组织标准实施效果评估，收集反馈意见，为后续标准修订和完善提供依据。</w:t>
      </w:r>
    </w:p>
    <w:p w14:paraId="7C8E0DCC">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val="en-US" w:eastAsia="zh-CN"/>
        </w:rPr>
        <w:t>8</w:t>
      </w:r>
      <w:r>
        <w:rPr>
          <w:rFonts w:hint="eastAsia" w:ascii="仿宋_GB2312" w:hAnsi="仿宋_GB2312" w:eastAsia="仿宋_GB2312" w:cs="仿宋_GB2312"/>
          <w:b/>
          <w:sz w:val="28"/>
          <w:szCs w:val="28"/>
        </w:rPr>
        <w:t>．废止现行有关标准的建议</w:t>
      </w:r>
      <w:r>
        <w:rPr>
          <w:rFonts w:hint="eastAsia" w:ascii="仿宋_GB2312" w:hAnsi="仿宋_GB2312" w:eastAsia="仿宋_GB2312" w:cs="仿宋_GB2312"/>
          <w:sz w:val="28"/>
          <w:szCs w:val="28"/>
        </w:rPr>
        <w:t>（修订时，应说明新旧标准的替代关系；如制定，写“无”）</w:t>
      </w:r>
    </w:p>
    <w:p w14:paraId="6AE8F84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sz w:val="28"/>
          <w:szCs w:val="28"/>
          <w:lang w:val="en-US" w:eastAsia="zh-CN"/>
        </w:rPr>
        <w:t>无</w:t>
      </w:r>
    </w:p>
    <w:p w14:paraId="2BD951DC">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lang w:val="en-US" w:eastAsia="zh-CN"/>
        </w:rPr>
        <w:t>9</w:t>
      </w:r>
      <w:r>
        <w:rPr>
          <w:rFonts w:hint="eastAsia" w:ascii="仿宋_GB2312" w:hAnsi="仿宋_GB2312" w:eastAsia="仿宋_GB2312" w:cs="仿宋_GB2312"/>
          <w:b/>
          <w:sz w:val="28"/>
          <w:szCs w:val="28"/>
          <w:lang w:eastAsia="zh-CN"/>
        </w:rPr>
        <w:t>.</w:t>
      </w:r>
      <w:r>
        <w:rPr>
          <w:rFonts w:hint="eastAsia" w:ascii="仿宋_GB2312" w:hAnsi="仿宋_GB2312" w:eastAsia="仿宋_GB2312" w:cs="仿宋_GB2312"/>
          <w:b/>
          <w:sz w:val="28"/>
          <w:szCs w:val="28"/>
        </w:rPr>
        <w:t>其他应予说明的事项</w:t>
      </w:r>
      <w:r>
        <w:rPr>
          <w:rFonts w:hint="eastAsia" w:ascii="仿宋_GB2312" w:hAnsi="仿宋_GB2312" w:eastAsia="仿宋_GB2312" w:cs="仿宋_GB2312"/>
          <w:sz w:val="28"/>
          <w:szCs w:val="28"/>
        </w:rPr>
        <w:t>（陈述是否涉及专利及有关说明、本标准编制阶段与原计划有差异情况说明及原因等）</w:t>
      </w:r>
    </w:p>
    <w:p w14:paraId="5DC2F169">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p w14:paraId="3340E432">
      <w:pPr>
        <w:keepNext w:val="0"/>
        <w:keepLines w:val="0"/>
        <w:pageBreakBefore w:val="0"/>
        <w:widowControl w:val="0"/>
        <w:kinsoku/>
        <w:wordWrap/>
        <w:overflowPunct/>
        <w:topLinePunct w:val="0"/>
        <w:autoSpaceDE/>
        <w:autoSpaceDN/>
        <w:bidi w:val="0"/>
        <w:adjustRightInd w:val="0"/>
        <w:snapToGrid w:val="0"/>
        <w:spacing w:line="500" w:lineRule="exact"/>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1</w:t>
      </w:r>
      <w:r>
        <w:rPr>
          <w:rFonts w:hint="eastAsia" w:ascii="仿宋_GB2312" w:hAnsi="仿宋_GB2312" w:eastAsia="仿宋_GB2312" w:cs="仿宋_GB2312"/>
          <w:b/>
          <w:sz w:val="28"/>
          <w:szCs w:val="28"/>
          <w:lang w:val="en-US" w:eastAsia="zh-CN"/>
        </w:rPr>
        <w:t>0</w:t>
      </w:r>
      <w:r>
        <w:rPr>
          <w:rFonts w:hint="eastAsia" w:ascii="仿宋_GB2312" w:hAnsi="仿宋_GB2312" w:eastAsia="仿宋_GB2312" w:cs="仿宋_GB2312"/>
          <w:b/>
          <w:sz w:val="28"/>
          <w:szCs w:val="28"/>
          <w:lang w:eastAsia="zh-CN"/>
        </w:rPr>
        <w:t>.</w:t>
      </w:r>
      <w:r>
        <w:rPr>
          <w:rFonts w:hint="eastAsia" w:ascii="仿宋_GB2312" w:hAnsi="仿宋_GB2312" w:eastAsia="仿宋_GB2312" w:cs="仿宋_GB2312"/>
          <w:b/>
          <w:sz w:val="28"/>
          <w:szCs w:val="28"/>
        </w:rPr>
        <w:t>附录</w:t>
      </w:r>
      <w:r>
        <w:rPr>
          <w:rFonts w:hint="eastAsia" w:ascii="仿宋_GB2312" w:hAnsi="仿宋_GB2312" w:eastAsia="仿宋_GB2312" w:cs="仿宋_GB2312"/>
          <w:sz w:val="28"/>
          <w:szCs w:val="28"/>
        </w:rPr>
        <w:t>（如没有，写“无”）</w:t>
      </w:r>
    </w:p>
    <w:p w14:paraId="29793150">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无</w:t>
      </w:r>
    </w:p>
    <w:p w14:paraId="086E96FD">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仿宋_GB2312" w:hAnsi="仿宋_GB2312" w:eastAsia="仿宋_GB2312" w:cs="仿宋_GB2312"/>
          <w:sz w:val="28"/>
          <w:szCs w:val="28"/>
        </w:rPr>
      </w:pPr>
    </w:p>
    <w:p w14:paraId="487016D4">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粮库数字孪生体系架构</w:t>
      </w:r>
      <w:r>
        <w:rPr>
          <w:rFonts w:hint="eastAsia" w:ascii="仿宋_GB2312" w:hAnsi="仿宋_GB2312" w:eastAsia="仿宋_GB2312" w:cs="仿宋_GB2312"/>
          <w:sz w:val="28"/>
          <w:szCs w:val="28"/>
        </w:rPr>
        <w:t>》团体标准起草组</w:t>
      </w:r>
    </w:p>
    <w:p w14:paraId="486486AF">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05</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28</w:t>
      </w:r>
      <w:r>
        <w:rPr>
          <w:rFonts w:hint="eastAsia" w:ascii="仿宋_GB2312" w:hAnsi="仿宋_GB2312" w:eastAsia="仿宋_GB2312" w:cs="仿宋_GB2312"/>
          <w:sz w:val="28"/>
          <w:szCs w:val="28"/>
        </w:rPr>
        <w:t>日</w:t>
      </w:r>
    </w:p>
    <w:p w14:paraId="4F814EB3"/>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E6F49"/>
    <w:rsid w:val="175C3FD7"/>
    <w:rsid w:val="30564D02"/>
    <w:rsid w:val="4A657908"/>
    <w:rsid w:val="6E524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4990</Words>
  <Characters>5371</Characters>
  <Lines>0</Lines>
  <Paragraphs>0</Paragraphs>
  <TotalTime>1</TotalTime>
  <ScaleCrop>false</ScaleCrop>
  <LinksUpToDate>false</LinksUpToDate>
  <CharactersWithSpaces>5450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2026-03-13T09:35:00Z</dcterms:created>
  <dc:creator>lishu</dc:creator>
  <cp:lastModifiedBy>李舒畅</cp:lastModifiedBy>
  <dcterms:modified xsi:type="dcterms:W3CDTF">2026-06-01T00:56:58Z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eyJoZGlkIjoiNTJhODhkZjViODYwNWU1MWFlOGU5MDkzMjY5M2M2NDEiLCJ1c2VySWQiOiIzMzk1MDMzMzUifQ==</vt:lpwstr>
  </property>
  <property fmtid="{D5CDD505-2E9C-101B-9397-08002B2CF9AE}" pid="4" name="ICV">
    <vt:lpwstr>A54EC118E773423EBD72C77D7F1ED3E5_13</vt:lpwstr>
  </property>
</Properties>
</file>